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67A3" w14:textId="2CA84B06" w:rsidR="005924ED" w:rsidRDefault="001923EA">
      <w:r>
        <w:t>Tere!</w:t>
      </w:r>
    </w:p>
    <w:p w14:paraId="2741B985" w14:textId="46BB9804" w:rsidR="00212E3D" w:rsidRDefault="001923EA" w:rsidP="00983DC7">
      <w:pPr>
        <w:jc w:val="both"/>
      </w:pPr>
      <w:r>
        <w:t xml:space="preserve">Aadressilt </w:t>
      </w:r>
      <w:hyperlink r:id="rId5" w:history="1">
        <w:r w:rsidR="00212E3D" w:rsidRPr="002E188B">
          <w:rPr>
            <w:rStyle w:val="Hperlink"/>
            <w:b/>
            <w:bCs/>
            <w:i/>
            <w:iCs/>
          </w:rPr>
          <w:t>https://teenused.vanglateenistus.ee</w:t>
        </w:r>
      </w:hyperlink>
      <w:r w:rsidR="00212E3D">
        <w:rPr>
          <w:b/>
          <w:bCs/>
          <w:i/>
          <w:iCs/>
        </w:rPr>
        <w:t xml:space="preserve"> </w:t>
      </w:r>
      <w:r>
        <w:t xml:space="preserve"> leiad ligipääsu </w:t>
      </w:r>
      <w:r w:rsidRPr="00983DC7">
        <w:rPr>
          <w:b/>
          <w:bCs/>
        </w:rPr>
        <w:t xml:space="preserve">Vanglateenistuse </w:t>
      </w:r>
      <w:r w:rsidR="00983DC7" w:rsidRPr="00983DC7">
        <w:rPr>
          <w:b/>
          <w:bCs/>
        </w:rPr>
        <w:t xml:space="preserve">                 </w:t>
      </w:r>
      <w:r w:rsidRPr="00983DC7">
        <w:rPr>
          <w:b/>
          <w:bCs/>
        </w:rPr>
        <w:t>e-teenuste keskkonda</w:t>
      </w:r>
      <w:r>
        <w:t xml:space="preserve"> (VATEK). </w:t>
      </w:r>
    </w:p>
    <w:p w14:paraId="23D05C61" w14:textId="77777777" w:rsidR="002B4F4A" w:rsidRDefault="000839F5" w:rsidP="00983DC7">
      <w:pPr>
        <w:jc w:val="both"/>
      </w:pPr>
      <w:proofErr w:type="spellStart"/>
      <w:r>
        <w:t>VATEKi</w:t>
      </w:r>
      <w:proofErr w:type="spellEnd"/>
      <w:r w:rsidR="001923EA">
        <w:t xml:space="preserve"> kaudu on võimalik </w:t>
      </w:r>
      <w:r w:rsidR="001923EA" w:rsidRPr="000839F5">
        <w:rPr>
          <w:b/>
          <w:bCs/>
        </w:rPr>
        <w:t>taotleda luba vanglasse sisenemiseks</w:t>
      </w:r>
      <w:r w:rsidR="001923EA" w:rsidRPr="001923EA">
        <w:t xml:space="preserve"> (kas koos või ilma </w:t>
      </w:r>
      <w:r w:rsidR="001923EA" w:rsidRPr="00EB15A3">
        <w:rPr>
          <w:b/>
          <w:bCs/>
        </w:rPr>
        <w:t>tehnikavahend</w:t>
      </w:r>
      <w:r w:rsidR="001923EA" w:rsidRPr="001923EA">
        <w:t xml:space="preserve">i ja </w:t>
      </w:r>
      <w:r w:rsidR="001923EA" w:rsidRPr="00EB15A3">
        <w:rPr>
          <w:b/>
          <w:bCs/>
        </w:rPr>
        <w:t>sõiduk</w:t>
      </w:r>
      <w:r w:rsidR="001923EA" w:rsidRPr="001923EA">
        <w:t xml:space="preserve">iga) ning vaadata kinnitatud või menetluses olevaid lubasid ja nendega seotud andmeid. </w:t>
      </w:r>
    </w:p>
    <w:p w14:paraId="3231DA43" w14:textId="217F6898" w:rsidR="001923EA" w:rsidRDefault="002B4F4A" w:rsidP="00983DC7">
      <w:pPr>
        <w:jc w:val="both"/>
      </w:pPr>
      <w:r w:rsidRPr="00D911CA">
        <w:rPr>
          <w:b/>
          <w:bCs/>
        </w:rPr>
        <w:t>NB!</w:t>
      </w:r>
      <w:r w:rsidR="00347A50">
        <w:t xml:space="preserve"> Käesoleval hetkel võimaldab VATEK taotleda sissepääsuluba </w:t>
      </w:r>
      <w:r w:rsidR="00D911CA">
        <w:t>personaalselt keskkonda sisse loginud isikul.</w:t>
      </w:r>
      <w:r w:rsidR="0054555A">
        <w:t xml:space="preserve"> </w:t>
      </w:r>
    </w:p>
    <w:p w14:paraId="326CFC04" w14:textId="32A1BDB8" w:rsidR="0054555A" w:rsidRPr="0054555A" w:rsidRDefault="0054555A" w:rsidP="00983DC7">
      <w:pPr>
        <w:jc w:val="both"/>
        <w:rPr>
          <w:b/>
          <w:bCs/>
          <w:color w:val="FF0000"/>
        </w:rPr>
      </w:pPr>
      <w:r w:rsidRPr="0054555A">
        <w:rPr>
          <w:b/>
          <w:bCs/>
          <w:color w:val="FF0000"/>
        </w:rPr>
        <w:t>Pikaajaline luba taotletakse ette mitte rohkem kui 1 kuu.</w:t>
      </w:r>
    </w:p>
    <w:p w14:paraId="6794DD95" w14:textId="06DA203C" w:rsidR="009A221F" w:rsidRDefault="009A221F" w:rsidP="00983DC7">
      <w:pPr>
        <w:jc w:val="both"/>
      </w:pPr>
      <w:r>
        <w:t>_________________________________________</w:t>
      </w:r>
    </w:p>
    <w:p w14:paraId="7A25E9D0" w14:textId="77777777" w:rsidR="001827BB" w:rsidRPr="00A831DB" w:rsidRDefault="001827BB" w:rsidP="00983DC7">
      <w:pPr>
        <w:jc w:val="both"/>
        <w:rPr>
          <w:b/>
          <w:bCs/>
          <w:color w:val="77206D" w:themeColor="accent5" w:themeShade="BF"/>
        </w:rPr>
      </w:pPr>
      <w:r w:rsidRPr="00A831DB">
        <w:rPr>
          <w:b/>
          <w:bCs/>
          <w:color w:val="77206D" w:themeColor="accent5" w:themeShade="BF"/>
          <w:u w:val="single"/>
        </w:rPr>
        <w:t>Uue loa taotlemine:</w:t>
      </w:r>
      <w:r w:rsidRPr="00A831DB">
        <w:rPr>
          <w:b/>
          <w:bCs/>
          <w:color w:val="77206D" w:themeColor="accent5" w:themeShade="BF"/>
        </w:rPr>
        <w:t> </w:t>
      </w:r>
    </w:p>
    <w:p w14:paraId="1B87D051" w14:textId="77777777" w:rsidR="001827BB" w:rsidRPr="001827BB" w:rsidRDefault="001827BB" w:rsidP="00983DC7">
      <w:pPr>
        <w:numPr>
          <w:ilvl w:val="0"/>
          <w:numId w:val="2"/>
        </w:numPr>
        <w:spacing w:after="0"/>
        <w:jc w:val="both"/>
      </w:pPr>
      <w:r w:rsidRPr="001827BB">
        <w:t>Tuleb logida sisse VATEK-</w:t>
      </w:r>
      <w:proofErr w:type="spellStart"/>
      <w:r w:rsidRPr="001827BB">
        <w:t>isse</w:t>
      </w:r>
      <w:proofErr w:type="spellEnd"/>
      <w:r w:rsidRPr="001827BB">
        <w:t> </w:t>
      </w:r>
    </w:p>
    <w:p w14:paraId="444F81BA" w14:textId="77777777" w:rsidR="001827BB" w:rsidRPr="001827BB" w:rsidRDefault="001827BB" w:rsidP="00983DC7">
      <w:pPr>
        <w:numPr>
          <w:ilvl w:val="0"/>
          <w:numId w:val="3"/>
        </w:numPr>
        <w:spacing w:after="0"/>
        <w:jc w:val="both"/>
      </w:pPr>
      <w:r w:rsidRPr="001827BB">
        <w:t>Valida menüüst “Uus pääsla luba” </w:t>
      </w:r>
    </w:p>
    <w:p w14:paraId="39308F4B" w14:textId="77777777" w:rsidR="001827BB" w:rsidRPr="001827BB" w:rsidRDefault="001827BB" w:rsidP="00983DC7">
      <w:pPr>
        <w:numPr>
          <w:ilvl w:val="0"/>
          <w:numId w:val="4"/>
        </w:numPr>
        <w:spacing w:after="0"/>
        <w:jc w:val="both"/>
      </w:pPr>
      <w:r w:rsidRPr="001827BB">
        <w:t>Seejärel avaneb vorm, mida saab loa taotleja täita.  </w:t>
      </w:r>
    </w:p>
    <w:p w14:paraId="16F5F81B" w14:textId="3E703AA4" w:rsidR="001827BB" w:rsidRPr="00A831DB" w:rsidRDefault="001827BB" w:rsidP="00C22990">
      <w:pPr>
        <w:spacing w:before="240" w:line="276" w:lineRule="auto"/>
        <w:jc w:val="both"/>
        <w:rPr>
          <w:color w:val="77206D" w:themeColor="accent5" w:themeShade="BF"/>
        </w:rPr>
      </w:pPr>
      <w:r w:rsidRPr="00A831DB">
        <w:rPr>
          <w:b/>
          <w:bCs/>
          <w:color w:val="77206D" w:themeColor="accent5" w:themeShade="BF"/>
        </w:rPr>
        <w:t>Jaotis</w:t>
      </w:r>
      <w:r w:rsidR="00ED54F0">
        <w:rPr>
          <w:b/>
          <w:bCs/>
          <w:color w:val="77206D" w:themeColor="accent5" w:themeShade="BF"/>
        </w:rPr>
        <w:t>es</w:t>
      </w:r>
      <w:r w:rsidRPr="00A831DB">
        <w:rPr>
          <w:b/>
          <w:bCs/>
          <w:color w:val="77206D" w:themeColor="accent5" w:themeShade="BF"/>
        </w:rPr>
        <w:t xml:space="preserve"> “Üldandmed”</w:t>
      </w:r>
      <w:r w:rsidRPr="00A831DB">
        <w:rPr>
          <w:color w:val="77206D" w:themeColor="accent5" w:themeShade="BF"/>
        </w:rPr>
        <w:t>: </w:t>
      </w:r>
      <w:r w:rsidR="00ED54F0">
        <w:rPr>
          <w:color w:val="77206D" w:themeColor="accent5" w:themeShade="BF"/>
        </w:rPr>
        <w:t>meditsiinitöötajad,</w:t>
      </w:r>
      <w:r w:rsidR="00753B24">
        <w:rPr>
          <w:color w:val="77206D" w:themeColor="accent5" w:themeShade="BF"/>
        </w:rPr>
        <w:t xml:space="preserve"> õpetajad,</w:t>
      </w:r>
      <w:r w:rsidR="00ED54F0">
        <w:rPr>
          <w:color w:val="77206D" w:themeColor="accent5" w:themeShade="BF"/>
        </w:rPr>
        <w:t xml:space="preserve"> RKAS ja muud isikud, kes võivad territooriumil liikuda saatjata valivad: „</w:t>
      </w:r>
      <w:r w:rsidR="00ED54F0" w:rsidRPr="00ED54F0">
        <w:rPr>
          <w:color w:val="77206D" w:themeColor="accent5" w:themeShade="BF"/>
        </w:rPr>
        <w:t>vanglas töötav isik saatjata</w:t>
      </w:r>
      <w:r w:rsidR="00ED54F0">
        <w:rPr>
          <w:color w:val="77206D" w:themeColor="accent5" w:themeShade="BF"/>
        </w:rPr>
        <w:t xml:space="preserve">“. </w:t>
      </w:r>
    </w:p>
    <w:p w14:paraId="65AB8282" w14:textId="79558FB2" w:rsidR="00C7217B" w:rsidRDefault="00C7217B" w:rsidP="00C7217B">
      <w:pPr>
        <w:spacing w:before="240"/>
      </w:pPr>
      <w:r>
        <w:rPr>
          <w:noProof/>
        </w:rPr>
        <w:drawing>
          <wp:inline distT="0" distB="0" distL="0" distR="0" wp14:anchorId="6276985F" wp14:editId="4814D0C0">
            <wp:extent cx="5057775" cy="2695575"/>
            <wp:effectExtent l="0" t="0" r="9525" b="9525"/>
            <wp:docPr id="4" name="Pilt 2" descr="Pilt, millel on kujutatud kuvatõmmis, tekst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2" descr="Pilt, millel on kujutatud kuvatõmmis, tekst, number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AD0B" w14:textId="77777777" w:rsidR="00C7217B" w:rsidRPr="006C75C4" w:rsidRDefault="00C7217B" w:rsidP="00B1507A">
      <w:pPr>
        <w:spacing w:before="240"/>
        <w:jc w:val="both"/>
      </w:pPr>
      <w:r w:rsidRPr="006C75C4">
        <w:t>Selgitused: </w:t>
      </w:r>
    </w:p>
    <w:p w14:paraId="5CDB3A6A" w14:textId="3D5745B6" w:rsidR="00C7217B" w:rsidRPr="00C7217B" w:rsidRDefault="00C7217B" w:rsidP="00B1507A">
      <w:pPr>
        <w:numPr>
          <w:ilvl w:val="0"/>
          <w:numId w:val="5"/>
        </w:numPr>
        <w:spacing w:after="0"/>
        <w:jc w:val="both"/>
      </w:pPr>
      <w:r w:rsidRPr="00C7217B">
        <w:t>“Sisenemine töötõendiga” valik tuleb teha lähtuvalt sellest, kas tegemist on justiitsministri määruse “Järelevalve korraldus vanglas” § 19 lõikes 2 toodud isikuga</w:t>
      </w:r>
      <w:r w:rsidR="00A35800">
        <w:t>*</w:t>
      </w:r>
      <w:r w:rsidRPr="00C7217B">
        <w:t>. Kui on, tuleb valida töötõendiga sisenemine. Kui  mitte, siis jätta valik tegemata.  </w:t>
      </w:r>
    </w:p>
    <w:p w14:paraId="615CCFEB" w14:textId="77777777" w:rsidR="00C7217B" w:rsidRPr="00C7217B" w:rsidRDefault="00C7217B" w:rsidP="00B1507A">
      <w:pPr>
        <w:numPr>
          <w:ilvl w:val="0"/>
          <w:numId w:val="6"/>
        </w:numPr>
        <w:spacing w:after="0"/>
        <w:jc w:val="both"/>
      </w:pPr>
      <w:r w:rsidRPr="00C7217B">
        <w:t>Seejärel tuleb loendist valida sobiv “Pääsla läbimise liik”. </w:t>
      </w:r>
    </w:p>
    <w:p w14:paraId="40A15B4A" w14:textId="77777777" w:rsidR="00C7217B" w:rsidRPr="00C7217B" w:rsidRDefault="00C7217B" w:rsidP="00B1507A">
      <w:pPr>
        <w:numPr>
          <w:ilvl w:val="0"/>
          <w:numId w:val="7"/>
        </w:numPr>
        <w:spacing w:after="0"/>
        <w:jc w:val="both"/>
      </w:pPr>
      <w:r w:rsidRPr="00C7217B">
        <w:lastRenderedPageBreak/>
        <w:t>Seejärel tuleb valida vangla, kuhu sisenemise luba soovitakse. Valida saab kas üks, kaks või kõik vanglad.  </w:t>
      </w:r>
    </w:p>
    <w:p w14:paraId="70897DF4" w14:textId="77777777" w:rsidR="001E65CA" w:rsidRDefault="001E65CA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0937F576" w14:textId="196AA355" w:rsidR="00C7217B" w:rsidRPr="00292717" w:rsidRDefault="00C7217B" w:rsidP="00B1507A">
      <w:pPr>
        <w:numPr>
          <w:ilvl w:val="0"/>
          <w:numId w:val="8"/>
        </w:numPr>
        <w:spacing w:after="0"/>
        <w:jc w:val="both"/>
        <w:rPr>
          <w:color w:val="FF0000"/>
        </w:rPr>
      </w:pPr>
      <w:r w:rsidRPr="00292717">
        <w:rPr>
          <w:b/>
          <w:bCs/>
          <w:color w:val="FF0000"/>
        </w:rPr>
        <w:lastRenderedPageBreak/>
        <w:t>Kommentaari lahtr</w:t>
      </w:r>
      <w:r w:rsidR="00A059B3" w:rsidRPr="00292717">
        <w:rPr>
          <w:b/>
          <w:bCs/>
          <w:color w:val="FF0000"/>
        </w:rPr>
        <w:t>i</w:t>
      </w:r>
      <w:r w:rsidR="006B1789">
        <w:rPr>
          <w:b/>
          <w:bCs/>
          <w:color w:val="FF0000"/>
        </w:rPr>
        <w:t xml:space="preserve"> täitmine on kohustuslik, ära tuleb m</w:t>
      </w:r>
      <w:r w:rsidR="00A059B3" w:rsidRPr="00292717">
        <w:rPr>
          <w:b/>
          <w:bCs/>
          <w:color w:val="FF0000"/>
        </w:rPr>
        <w:t>är</w:t>
      </w:r>
      <w:r w:rsidR="006B1789">
        <w:rPr>
          <w:b/>
          <w:bCs/>
          <w:color w:val="FF0000"/>
        </w:rPr>
        <w:t>kida</w:t>
      </w:r>
      <w:r w:rsidR="00A059B3" w:rsidRPr="00292717">
        <w:rPr>
          <w:color w:val="FF0000"/>
        </w:rPr>
        <w:t>:</w:t>
      </w:r>
    </w:p>
    <w:p w14:paraId="58B9028F" w14:textId="6C83C6A8" w:rsidR="00A059B3" w:rsidRPr="0063542A" w:rsidRDefault="00541FEC" w:rsidP="00B1507A">
      <w:pPr>
        <w:numPr>
          <w:ilvl w:val="1"/>
          <w:numId w:val="8"/>
        </w:numPr>
        <w:spacing w:after="0"/>
        <w:jc w:val="both"/>
        <w:rPr>
          <w:color w:val="FF0000"/>
          <w:u w:val="single"/>
        </w:rPr>
      </w:pPr>
      <w:r w:rsidRPr="0063542A">
        <w:rPr>
          <w:color w:val="FF0000"/>
          <w:u w:val="single"/>
        </w:rPr>
        <w:t xml:space="preserve">Vanglapoolne kontaktisik: </w:t>
      </w:r>
      <w:r w:rsidR="00F5088C" w:rsidRPr="0063542A">
        <w:rPr>
          <w:color w:val="FF0000"/>
          <w:u w:val="single"/>
        </w:rPr>
        <w:t>ees- ja perekonnanimi;</w:t>
      </w:r>
    </w:p>
    <w:p w14:paraId="7EE0A395" w14:textId="16CEF09E" w:rsidR="00F5088C" w:rsidRPr="00542027" w:rsidRDefault="004A6089" w:rsidP="00B1507A">
      <w:pPr>
        <w:numPr>
          <w:ilvl w:val="1"/>
          <w:numId w:val="8"/>
        </w:numPr>
        <w:spacing w:after="0"/>
        <w:jc w:val="both"/>
        <w:rPr>
          <w:color w:val="FF0000"/>
        </w:rPr>
      </w:pPr>
      <w:r w:rsidRPr="00542027">
        <w:rPr>
          <w:color w:val="FF0000"/>
        </w:rPr>
        <w:t>Loa taotleja asutus või ettevõte;</w:t>
      </w:r>
    </w:p>
    <w:p w14:paraId="1D04F669" w14:textId="368ED7A2" w:rsidR="004A6089" w:rsidRPr="00542027" w:rsidRDefault="004A6089" w:rsidP="00B1507A">
      <w:pPr>
        <w:numPr>
          <w:ilvl w:val="1"/>
          <w:numId w:val="8"/>
        </w:numPr>
        <w:spacing w:after="0"/>
        <w:jc w:val="both"/>
        <w:rPr>
          <w:color w:val="FF0000"/>
        </w:rPr>
      </w:pPr>
      <w:r w:rsidRPr="00542027">
        <w:rPr>
          <w:color w:val="FF0000"/>
        </w:rPr>
        <w:t>Loa taotleja ameti</w:t>
      </w:r>
      <w:r w:rsidR="00721A29" w:rsidRPr="00542027">
        <w:rPr>
          <w:color w:val="FF0000"/>
        </w:rPr>
        <w:t>- või töökoht</w:t>
      </w:r>
      <w:r w:rsidR="009317D0" w:rsidRPr="00542027">
        <w:rPr>
          <w:color w:val="FF0000"/>
        </w:rPr>
        <w:t xml:space="preserve">, </w:t>
      </w:r>
      <w:r w:rsidR="00315370" w:rsidRPr="00542027">
        <w:rPr>
          <w:color w:val="FF0000"/>
        </w:rPr>
        <w:t>meiliaadress;</w:t>
      </w:r>
    </w:p>
    <w:p w14:paraId="08837267" w14:textId="20F332DA" w:rsidR="00721A29" w:rsidRPr="00542027" w:rsidRDefault="00721A29" w:rsidP="00B1507A">
      <w:pPr>
        <w:numPr>
          <w:ilvl w:val="1"/>
          <w:numId w:val="8"/>
        </w:numPr>
        <w:spacing w:after="0"/>
        <w:jc w:val="both"/>
        <w:rPr>
          <w:color w:val="FF0000"/>
        </w:rPr>
      </w:pPr>
      <w:r w:rsidRPr="00542027">
        <w:rPr>
          <w:color w:val="FF0000"/>
        </w:rPr>
        <w:t>Vanglasse kaasavõetavad esemed (va tehnikav</w:t>
      </w:r>
      <w:r w:rsidR="00315370" w:rsidRPr="00542027">
        <w:rPr>
          <w:color w:val="FF0000"/>
        </w:rPr>
        <w:t>a</w:t>
      </w:r>
      <w:r w:rsidRPr="00542027">
        <w:rPr>
          <w:color w:val="FF0000"/>
        </w:rPr>
        <w:t>hendid)</w:t>
      </w:r>
      <w:r w:rsidR="00315370" w:rsidRPr="00542027">
        <w:rPr>
          <w:color w:val="FF0000"/>
        </w:rPr>
        <w:t>;</w:t>
      </w:r>
    </w:p>
    <w:p w14:paraId="717A48BF" w14:textId="2E8F82A1" w:rsidR="00315370" w:rsidRPr="00542027" w:rsidRDefault="00315370" w:rsidP="00B1507A">
      <w:pPr>
        <w:numPr>
          <w:ilvl w:val="1"/>
          <w:numId w:val="8"/>
        </w:numPr>
        <w:spacing w:after="0"/>
        <w:jc w:val="both"/>
        <w:rPr>
          <w:color w:val="FF0000"/>
        </w:rPr>
      </w:pPr>
      <w:r w:rsidRPr="00542027">
        <w:rPr>
          <w:color w:val="FF0000"/>
        </w:rPr>
        <w:t>Vanglas viibimise kellaajad (n: tööpäeviti kella 09:00-16:00)</w:t>
      </w:r>
      <w:r w:rsidR="002B4F4A" w:rsidRPr="00542027">
        <w:rPr>
          <w:color w:val="FF0000"/>
        </w:rPr>
        <w:t>.</w:t>
      </w:r>
    </w:p>
    <w:p w14:paraId="42D05F99" w14:textId="77777777" w:rsidR="00C7217B" w:rsidRPr="00C7217B" w:rsidRDefault="00C7217B" w:rsidP="00B1507A">
      <w:pPr>
        <w:numPr>
          <w:ilvl w:val="0"/>
          <w:numId w:val="9"/>
        </w:numPr>
        <w:spacing w:after="0"/>
        <w:jc w:val="both"/>
      </w:pPr>
      <w:r w:rsidRPr="00C7217B">
        <w:t>Valiku “Kehtivuse algus” märkimine on kohustuslik. Tegemist on soovitud loa kehtivuse kuupäeva valikuga. Luba saab taotleda ka tuleviku kehtivusega.  </w:t>
      </w:r>
    </w:p>
    <w:p w14:paraId="2106F948" w14:textId="77777777" w:rsidR="00B4408E" w:rsidRDefault="00C7217B" w:rsidP="00B1507A">
      <w:pPr>
        <w:numPr>
          <w:ilvl w:val="0"/>
          <w:numId w:val="10"/>
        </w:numPr>
        <w:spacing w:after="0"/>
        <w:jc w:val="both"/>
      </w:pPr>
      <w:r w:rsidRPr="00C7217B">
        <w:t>Valiku “Kehtivuse lõpp” märkimine ei ole kohustuslik. Kui luba on kindlaks perioodiks, tuleks see valik teha.</w:t>
      </w:r>
    </w:p>
    <w:p w14:paraId="4EF03F1B" w14:textId="15586E80" w:rsidR="00C7217B" w:rsidRDefault="00B4408E" w:rsidP="00B1507A">
      <w:pPr>
        <w:jc w:val="both"/>
      </w:pPr>
      <w:r w:rsidRPr="00AD2865">
        <w:rPr>
          <w:b/>
          <w:bCs/>
        </w:rPr>
        <w:t>NB!</w:t>
      </w:r>
      <w:r>
        <w:t xml:space="preserve"> </w:t>
      </w:r>
      <w:r w:rsidR="00C7217B" w:rsidRPr="00C7217B">
        <w:t>  </w:t>
      </w:r>
      <w:r w:rsidR="00B47A74">
        <w:t>Pikaajaline luba antakse maksimaalselt üheks aastaks. Tähtaeg lõppeb üks päev varem alguse kuupäevast (</w:t>
      </w:r>
      <w:r w:rsidR="00011B26">
        <w:t xml:space="preserve">pikaajalise </w:t>
      </w:r>
      <w:r w:rsidR="00D108BA">
        <w:t xml:space="preserve">loa </w:t>
      </w:r>
      <w:r w:rsidR="007E0480">
        <w:t>menetlustähtaeg on üks nädal!)</w:t>
      </w:r>
      <w:r w:rsidR="00ED54F0">
        <w:t xml:space="preserve">. Lühiajaline luba antakse maksimaalselt üheks kuuks, tähtaeg lõppeb üks päev varem </w:t>
      </w:r>
      <w:r w:rsidR="00C22990">
        <w:t>enne kuu aja täitumist (nt 03.03.26-02.04.26), menetlustähtaeg 3 tööpäeva).</w:t>
      </w:r>
    </w:p>
    <w:p w14:paraId="08DFDD9F" w14:textId="1245A1A9" w:rsidR="00C7217B" w:rsidRPr="0086701A" w:rsidRDefault="00030749" w:rsidP="00B1507A">
      <w:pPr>
        <w:jc w:val="both"/>
      </w:pPr>
      <w:r w:rsidRPr="00A831DB">
        <w:rPr>
          <w:b/>
          <w:bCs/>
          <w:color w:val="77206D" w:themeColor="accent5" w:themeShade="BF"/>
        </w:rPr>
        <w:t>Jaotis “Tehnikavahendi lisamine”</w:t>
      </w:r>
      <w:r w:rsidR="00565A9C" w:rsidRPr="00A831DB">
        <w:rPr>
          <w:color w:val="77206D" w:themeColor="accent5" w:themeShade="BF"/>
        </w:rPr>
        <w:t xml:space="preserve"> </w:t>
      </w:r>
      <w:r w:rsidR="0086701A">
        <w:t>(</w:t>
      </w:r>
      <w:r w:rsidR="0086701A" w:rsidRPr="0086701A">
        <w:t>täita juhul, kui soovitakse siseneda tehnik</w:t>
      </w:r>
      <w:r w:rsidR="0086701A">
        <w:t>a</w:t>
      </w:r>
      <w:r w:rsidR="0086701A" w:rsidRPr="0086701A">
        <w:t>vahendiga)</w:t>
      </w:r>
      <w:r w:rsidRPr="0086701A">
        <w:t>: </w:t>
      </w:r>
    </w:p>
    <w:p w14:paraId="6166F62E" w14:textId="00420A6D" w:rsidR="00030749" w:rsidRDefault="00030749" w:rsidP="00B1507A">
      <w:pPr>
        <w:spacing w:after="0"/>
        <w:jc w:val="both"/>
      </w:pPr>
      <w:r w:rsidRPr="00030749">
        <w:rPr>
          <w:noProof/>
        </w:rPr>
        <w:drawing>
          <wp:inline distT="0" distB="0" distL="0" distR="0" wp14:anchorId="70B36296" wp14:editId="2E7297AE">
            <wp:extent cx="3228975" cy="5000625"/>
            <wp:effectExtent l="0" t="0" r="9525" b="9525"/>
            <wp:docPr id="1824218524" name="Pilt 1" descr="Pilt, millel on kujutatud tekst, kuvatõmmis, tarkvara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18524" name="Pilt 1" descr="Pilt, millel on kujutatud tekst, kuvatõmmis, tarkvara, number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27FF" w14:textId="77777777" w:rsidR="00030749" w:rsidRDefault="00030749" w:rsidP="00B1507A">
      <w:pPr>
        <w:spacing w:after="0"/>
        <w:jc w:val="both"/>
      </w:pPr>
    </w:p>
    <w:p w14:paraId="55AB9D82" w14:textId="77777777" w:rsidR="00B9577C" w:rsidRDefault="00B9577C">
      <w:r>
        <w:lastRenderedPageBreak/>
        <w:br w:type="page"/>
      </w:r>
    </w:p>
    <w:p w14:paraId="15AAAA5D" w14:textId="7DB9A2E8" w:rsidR="00030749" w:rsidRPr="00030749" w:rsidRDefault="00030749" w:rsidP="00B1507A">
      <w:pPr>
        <w:spacing w:after="0"/>
        <w:jc w:val="both"/>
      </w:pPr>
      <w:r w:rsidRPr="00030749">
        <w:lastRenderedPageBreak/>
        <w:t>Selgitused: </w:t>
      </w:r>
    </w:p>
    <w:p w14:paraId="4F568062" w14:textId="77777777" w:rsidR="00030749" w:rsidRPr="00030749" w:rsidRDefault="00030749" w:rsidP="00B1507A">
      <w:pPr>
        <w:numPr>
          <w:ilvl w:val="0"/>
          <w:numId w:val="11"/>
        </w:numPr>
        <w:spacing w:after="0"/>
        <w:jc w:val="both"/>
      </w:pPr>
      <w:r w:rsidRPr="00030749">
        <w:t>Valiku “Tüüp” tegemine on kohustuslik. Sealt valida kõige täpsem tehnikavahendi liik. </w:t>
      </w:r>
    </w:p>
    <w:p w14:paraId="44881E32" w14:textId="77777777" w:rsidR="00030749" w:rsidRPr="00030749" w:rsidRDefault="00030749" w:rsidP="00B1507A">
      <w:pPr>
        <w:numPr>
          <w:ilvl w:val="0"/>
          <w:numId w:val="12"/>
        </w:numPr>
        <w:spacing w:after="0"/>
        <w:jc w:val="both"/>
      </w:pPr>
      <w:r w:rsidRPr="00030749">
        <w:t>Valiku “Liik” all on kaks valikut: isiklik või riigivara. Riigivara valida, kui vara omanik on riik, nt sülearvuti või riigi poolt väljastatud telefon. Teistel juhtudel tuleb valida isiklik vara.  </w:t>
      </w:r>
    </w:p>
    <w:p w14:paraId="34FB41E6" w14:textId="77777777" w:rsidR="00030749" w:rsidRPr="00030749" w:rsidRDefault="00030749" w:rsidP="00B1507A">
      <w:pPr>
        <w:numPr>
          <w:ilvl w:val="0"/>
          <w:numId w:val="13"/>
        </w:numPr>
        <w:spacing w:after="0"/>
        <w:jc w:val="both"/>
      </w:pPr>
      <w:r w:rsidRPr="00030749">
        <w:t>Lahtrite “Mark” ja “Mudel” sisestatakse tootja määratud andmete järgi.  </w:t>
      </w:r>
    </w:p>
    <w:p w14:paraId="261BF750" w14:textId="77777777" w:rsidR="00030749" w:rsidRPr="00030749" w:rsidRDefault="00030749" w:rsidP="00B1507A">
      <w:pPr>
        <w:numPr>
          <w:ilvl w:val="0"/>
          <w:numId w:val="14"/>
        </w:numPr>
        <w:spacing w:after="0"/>
        <w:jc w:val="both"/>
      </w:pPr>
      <w:r w:rsidRPr="00030749">
        <w:t>Lahtrite “Seerianumber” ja “IMEI kood” tegemine sõltub vahendist. IMEI kood on reeglina vahenditel, mis töötavad SIM-kaardiga. Seerianumber on olemas enamikel vahenditest. Tehnikavahendite puhul on oluline märkida vähemalt üks nimetatutest.  </w:t>
      </w:r>
    </w:p>
    <w:p w14:paraId="19EB7AFA" w14:textId="77FE5D68" w:rsidR="00030749" w:rsidRPr="00292717" w:rsidRDefault="00030749" w:rsidP="00B1507A">
      <w:pPr>
        <w:numPr>
          <w:ilvl w:val="0"/>
          <w:numId w:val="15"/>
        </w:numPr>
        <w:spacing w:after="0"/>
        <w:jc w:val="both"/>
        <w:rPr>
          <w:color w:val="FF0000"/>
        </w:rPr>
      </w:pPr>
      <w:r w:rsidRPr="00292717">
        <w:rPr>
          <w:b/>
          <w:bCs/>
          <w:color w:val="FF0000"/>
        </w:rPr>
        <w:t>Kommentaari lahtri</w:t>
      </w:r>
      <w:r w:rsidR="0086701A" w:rsidRPr="00292717">
        <w:rPr>
          <w:b/>
          <w:bCs/>
          <w:color w:val="FF0000"/>
        </w:rPr>
        <w:t>s</w:t>
      </w:r>
      <w:r w:rsidR="003F0296" w:rsidRPr="00292717">
        <w:rPr>
          <w:b/>
          <w:bCs/>
          <w:color w:val="FF0000"/>
        </w:rPr>
        <w:t>se</w:t>
      </w:r>
      <w:r w:rsidR="0086701A" w:rsidRPr="00292717">
        <w:rPr>
          <w:b/>
          <w:bCs/>
          <w:color w:val="FF0000"/>
        </w:rPr>
        <w:t xml:space="preserve"> märkida</w:t>
      </w:r>
      <w:r w:rsidR="0086701A" w:rsidRPr="00292717">
        <w:rPr>
          <w:color w:val="FF0000"/>
        </w:rPr>
        <w:t xml:space="preserve"> kinnitus</w:t>
      </w:r>
      <w:r w:rsidR="000B718A" w:rsidRPr="00292717">
        <w:rPr>
          <w:color w:val="FF0000"/>
        </w:rPr>
        <w:t>, et tutvutud</w:t>
      </w:r>
      <w:r w:rsidR="0086701A" w:rsidRPr="00292717">
        <w:rPr>
          <w:color w:val="FF0000"/>
        </w:rPr>
        <w:t xml:space="preserve"> </w:t>
      </w:r>
      <w:r w:rsidR="000B718A" w:rsidRPr="00292717">
        <w:rPr>
          <w:color w:val="FF0000"/>
        </w:rPr>
        <w:t xml:space="preserve">dokumendiga </w:t>
      </w:r>
      <w:r w:rsidR="003F0296" w:rsidRPr="00292717">
        <w:rPr>
          <w:color w:val="FF0000"/>
        </w:rPr>
        <w:t>„Mobiiltelefonide kasutamise hea tava vanglates</w:t>
      </w:r>
      <w:r w:rsidR="000B718A" w:rsidRPr="00292717">
        <w:rPr>
          <w:color w:val="FF0000"/>
        </w:rPr>
        <w:t>“.</w:t>
      </w:r>
    </w:p>
    <w:p w14:paraId="1B49F2D3" w14:textId="77777777" w:rsidR="00030749" w:rsidRDefault="00030749" w:rsidP="00B1507A">
      <w:pPr>
        <w:spacing w:after="0"/>
        <w:jc w:val="both"/>
      </w:pPr>
    </w:p>
    <w:p w14:paraId="5935F075" w14:textId="14F71D3B" w:rsidR="00030749" w:rsidRPr="00C7217B" w:rsidRDefault="00E049DF" w:rsidP="00B1507A">
      <w:pPr>
        <w:spacing w:after="0"/>
        <w:jc w:val="both"/>
      </w:pPr>
      <w:r w:rsidRPr="00E049DF">
        <w:rPr>
          <w:noProof/>
        </w:rPr>
        <w:drawing>
          <wp:inline distT="0" distB="0" distL="0" distR="0" wp14:anchorId="296E3D80" wp14:editId="26ADBC47">
            <wp:extent cx="3657600" cy="5724525"/>
            <wp:effectExtent l="0" t="0" r="0" b="9525"/>
            <wp:docPr id="947847606" name="Pilt 2" descr="Pilt, millel on kujutatud tekst, kuvatõmmis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47606" name="Pilt 2" descr="Pilt, millel on kujutatud tekst, kuvatõmmis, number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AAD4" w14:textId="49F567F5" w:rsidR="00C7217B" w:rsidRDefault="00E049DF" w:rsidP="00B1507A">
      <w:pPr>
        <w:spacing w:before="240"/>
        <w:jc w:val="both"/>
      </w:pPr>
      <w:r w:rsidRPr="00E049DF">
        <w:lastRenderedPageBreak/>
        <w:t>Vaade pärast tehnikavahendite sisestamist loa juurde: </w:t>
      </w:r>
    </w:p>
    <w:p w14:paraId="56FDC0A9" w14:textId="57AC7BBE" w:rsidR="00E049DF" w:rsidRDefault="00E049DF" w:rsidP="00B1507A">
      <w:pPr>
        <w:spacing w:before="240"/>
        <w:jc w:val="both"/>
      </w:pPr>
      <w:r w:rsidRPr="00E049DF">
        <w:rPr>
          <w:noProof/>
        </w:rPr>
        <w:drawing>
          <wp:inline distT="0" distB="0" distL="0" distR="0" wp14:anchorId="4D720751" wp14:editId="04AF0089">
            <wp:extent cx="5724525" cy="895350"/>
            <wp:effectExtent l="0" t="0" r="9525" b="0"/>
            <wp:docPr id="1265460318" name="Pilt 3" descr="Pilt, millel on kujutatud tekst, Font, kuvatõmmis, järjekor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60318" name="Pilt 3" descr="Pilt, millel on kujutatud tekst, Font, kuvatõmmis, järjekord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4FD0" w14:textId="6D9E1CD1" w:rsidR="009D1B69" w:rsidRPr="00A831DB" w:rsidRDefault="009D1B69" w:rsidP="00B1507A">
      <w:pPr>
        <w:jc w:val="both"/>
        <w:rPr>
          <w:color w:val="77206D" w:themeColor="accent5" w:themeShade="BF"/>
        </w:rPr>
      </w:pPr>
      <w:r w:rsidRPr="00A831DB">
        <w:rPr>
          <w:b/>
          <w:bCs/>
          <w:color w:val="77206D" w:themeColor="accent5" w:themeShade="BF"/>
        </w:rPr>
        <w:t>Jaotus “Transpordivahendi lisamine”</w:t>
      </w:r>
      <w:r w:rsidR="00A831DB" w:rsidRPr="00A831DB">
        <w:t xml:space="preserve"> </w:t>
      </w:r>
      <w:r w:rsidR="00A831DB">
        <w:t>(</w:t>
      </w:r>
      <w:r w:rsidR="00A831DB" w:rsidRPr="0086701A">
        <w:t>täita juhul, kui soovitakse siseneda t</w:t>
      </w:r>
      <w:r w:rsidR="00A831DB">
        <w:t>ranspordi</w:t>
      </w:r>
      <w:r w:rsidR="00A831DB" w:rsidRPr="0086701A">
        <w:t>vahendiga</w:t>
      </w:r>
      <w:r w:rsidR="00A831DB">
        <w:t>)</w:t>
      </w:r>
      <w:r w:rsidRPr="00A831DB">
        <w:rPr>
          <w:color w:val="77206D" w:themeColor="accent5" w:themeShade="BF"/>
        </w:rPr>
        <w:t>: </w:t>
      </w:r>
    </w:p>
    <w:p w14:paraId="2FC5B33C" w14:textId="77777777" w:rsidR="009D1B69" w:rsidRPr="009D1B69" w:rsidRDefault="009D1B69" w:rsidP="00B1507A">
      <w:pPr>
        <w:jc w:val="both"/>
      </w:pPr>
      <w:r w:rsidRPr="009D1B69">
        <w:t>Transpordivahendi taotlemisel tuleb täita vastav jaotis küsitud andmetega: </w:t>
      </w:r>
    </w:p>
    <w:p w14:paraId="78266FBB" w14:textId="09B11544" w:rsidR="0063542A" w:rsidRPr="0063542A" w:rsidRDefault="009D1B69" w:rsidP="00B1507A">
      <w:pPr>
        <w:spacing w:before="240"/>
        <w:jc w:val="both"/>
      </w:pPr>
      <w:r w:rsidRPr="009D1B69">
        <w:rPr>
          <w:noProof/>
        </w:rPr>
        <w:drawing>
          <wp:inline distT="0" distB="0" distL="0" distR="0" wp14:anchorId="70CE6157" wp14:editId="61B85261">
            <wp:extent cx="3352800" cy="4143375"/>
            <wp:effectExtent l="0" t="0" r="0" b="9525"/>
            <wp:docPr id="283238903" name="Pilt 4" descr="Pilt, millel on kujutatud tekst, kuvatõmmis, Font, numb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38903" name="Pilt 4" descr="Pilt, millel on kujutatud tekst, kuvatõmmis, Font, number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82FAA" w14:textId="6F6ADB08" w:rsidR="00983DC7" w:rsidRDefault="00983DC7" w:rsidP="00B1507A">
      <w:pPr>
        <w:spacing w:before="240"/>
        <w:jc w:val="both"/>
      </w:pPr>
      <w:r w:rsidRPr="00A831DB">
        <w:rPr>
          <w:b/>
          <w:bCs/>
          <w:color w:val="77206D" w:themeColor="accent5" w:themeShade="BF"/>
        </w:rPr>
        <w:t>Kui kõik vajalikud andmed on loa taotlusele sisestatud</w:t>
      </w:r>
      <w:r w:rsidR="0063542A">
        <w:rPr>
          <w:b/>
          <w:bCs/>
          <w:color w:val="77206D" w:themeColor="accent5" w:themeShade="BF"/>
        </w:rPr>
        <w:t xml:space="preserve"> (</w:t>
      </w:r>
      <w:r w:rsidR="0063542A" w:rsidRPr="008709BC">
        <w:rPr>
          <w:b/>
          <w:bCs/>
          <w:color w:val="77206D" w:themeColor="accent5" w:themeShade="BF"/>
          <w:u w:val="single"/>
        </w:rPr>
        <w:t xml:space="preserve">kontrolli </w:t>
      </w:r>
      <w:r w:rsidR="008709BC" w:rsidRPr="008709BC">
        <w:rPr>
          <w:b/>
          <w:bCs/>
          <w:color w:val="77206D" w:themeColor="accent5" w:themeShade="BF"/>
          <w:u w:val="single"/>
        </w:rPr>
        <w:t xml:space="preserve">üle, </w:t>
      </w:r>
      <w:r w:rsidR="0063542A" w:rsidRPr="008709BC">
        <w:rPr>
          <w:b/>
          <w:bCs/>
          <w:color w:val="77206D" w:themeColor="accent5" w:themeShade="BF"/>
          <w:u w:val="single"/>
        </w:rPr>
        <w:t xml:space="preserve">kas kommentaaride lahtrisse sai kirja </w:t>
      </w:r>
      <w:r w:rsidR="008709BC" w:rsidRPr="008709BC">
        <w:rPr>
          <w:b/>
          <w:bCs/>
          <w:color w:val="77206D" w:themeColor="accent5" w:themeShade="BF"/>
          <w:u w:val="single"/>
        </w:rPr>
        <w:t>vajalik info</w:t>
      </w:r>
      <w:r w:rsidR="008709BC">
        <w:rPr>
          <w:b/>
          <w:bCs/>
          <w:color w:val="77206D" w:themeColor="accent5" w:themeShade="BF"/>
        </w:rPr>
        <w:t>)</w:t>
      </w:r>
      <w:r w:rsidRPr="00A831DB">
        <w:rPr>
          <w:b/>
          <w:bCs/>
          <w:color w:val="77206D" w:themeColor="accent5" w:themeShade="BF"/>
        </w:rPr>
        <w:t>, tuleb vajutada nuppu “ESITA”.</w:t>
      </w:r>
      <w:r w:rsidRPr="00A831DB">
        <w:rPr>
          <w:color w:val="77206D" w:themeColor="accent5" w:themeShade="BF"/>
        </w:rPr>
        <w:t xml:space="preserve"> </w:t>
      </w:r>
      <w:r w:rsidRPr="00983DC7">
        <w:t>Seejärel liigub loa taotlus vanglale otsustamiseks.  </w:t>
      </w:r>
    </w:p>
    <w:p w14:paraId="4177921A" w14:textId="6E400FA4" w:rsidR="00983DC7" w:rsidRDefault="00983DC7" w:rsidP="00B1507A">
      <w:pPr>
        <w:spacing w:before="240"/>
        <w:jc w:val="both"/>
      </w:pPr>
      <w:r w:rsidRPr="00983DC7">
        <w:t>Menetluses olevaid taotlusi saab vaadata VATEK-i vahekaardilt:  </w:t>
      </w:r>
    </w:p>
    <w:p w14:paraId="757CAB59" w14:textId="26AA7CEC" w:rsidR="001827BB" w:rsidRDefault="00983DC7" w:rsidP="00B1507A">
      <w:pPr>
        <w:spacing w:before="240"/>
        <w:jc w:val="both"/>
      </w:pPr>
      <w:r w:rsidRPr="00983DC7">
        <w:rPr>
          <w:noProof/>
        </w:rPr>
        <w:lastRenderedPageBreak/>
        <w:drawing>
          <wp:inline distT="0" distB="0" distL="0" distR="0" wp14:anchorId="411C4D57" wp14:editId="06636CE7">
            <wp:extent cx="5724525" cy="1438275"/>
            <wp:effectExtent l="0" t="0" r="9525" b="9525"/>
            <wp:docPr id="1664694388" name="Pilt 5" descr="Pilt, millel on kujutatud kuvatõmmis, tekst, tarkvara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94388" name="Pilt 5" descr="Pilt, millel on kujutatud kuvatõmmis, tekst, tarkvara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C22E" w14:textId="77777777" w:rsidR="009A221F" w:rsidRDefault="009A221F" w:rsidP="00B1507A">
      <w:pPr>
        <w:spacing w:before="240"/>
        <w:jc w:val="both"/>
      </w:pPr>
    </w:p>
    <w:p w14:paraId="084C7BB6" w14:textId="6DEC12EB" w:rsidR="00F31644" w:rsidRPr="00F9304B" w:rsidRDefault="00F31644" w:rsidP="00B1507A">
      <w:pPr>
        <w:jc w:val="both"/>
        <w:rPr>
          <w:b/>
          <w:bCs/>
        </w:rPr>
      </w:pPr>
      <w:r w:rsidRPr="00F9304B">
        <w:rPr>
          <w:b/>
          <w:bCs/>
        </w:rPr>
        <w:t>Erisus:</w:t>
      </w:r>
    </w:p>
    <w:p w14:paraId="1831E4C4" w14:textId="77777777" w:rsidR="009D3C57" w:rsidRDefault="00F31644" w:rsidP="00B1507A">
      <w:pPr>
        <w:pStyle w:val="Loendilik"/>
        <w:numPr>
          <w:ilvl w:val="0"/>
          <w:numId w:val="1"/>
        </w:numPr>
        <w:jc w:val="both"/>
      </w:pPr>
      <w:r w:rsidRPr="00F31644">
        <w:t>Justiitsministri määruse “Järelevalve korraldus vanglas” § 19 lõikes 2 toodud isikutel ei ole loa eelnev taotlemine küll kohustuslik, kuid see kiirendab vanglasse sisenemise protsessi juhul, kui isiku andmeid enne </w:t>
      </w:r>
      <w:r w:rsidR="00EB15A3">
        <w:t>vangla pääsla infosüsteemis</w:t>
      </w:r>
      <w:r w:rsidRPr="00F31644">
        <w:t> ei ole. Loa taotlemine VATEK-i kaudu on soovitav juhtudel, kus isik soovib vanglasse siseneda tehnikavahendi või sõidukiga, kuna nende lubamise eelduseks on vanglas volitatud isiku luba.  </w:t>
      </w:r>
    </w:p>
    <w:p w14:paraId="75295A6A" w14:textId="5E0EAC36" w:rsidR="009D3C57" w:rsidRDefault="009D3C57" w:rsidP="009D3C57">
      <w:pPr>
        <w:spacing w:after="0"/>
        <w:ind w:left="45"/>
      </w:pPr>
    </w:p>
    <w:p w14:paraId="67EB9521" w14:textId="31532712" w:rsidR="009D3C57" w:rsidRDefault="007878F5" w:rsidP="009D3C57">
      <w:pPr>
        <w:spacing w:after="0"/>
        <w:ind w:left="45"/>
        <w:rPr>
          <w:sz w:val="16"/>
          <w:szCs w:val="16"/>
        </w:rPr>
        <w:sectPr w:rsidR="009D3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16"/>
          <w:szCs w:val="16"/>
        </w:rPr>
        <w:t xml:space="preserve">* </w:t>
      </w:r>
      <w:r w:rsidRPr="007878F5">
        <w:rPr>
          <w:sz w:val="16"/>
          <w:szCs w:val="16"/>
        </w:rPr>
        <w:t>Töötõendi alusel on lubatud vanglasse siseneda järgmistel isikutel:</w:t>
      </w:r>
    </w:p>
    <w:p w14:paraId="53C4F4D8" w14:textId="6BE545A0" w:rsidR="009D3C57" w:rsidRDefault="009D3C57" w:rsidP="009D3C57">
      <w:pPr>
        <w:spacing w:after="0"/>
        <w:ind w:left="45"/>
        <w:rPr>
          <w:sz w:val="16"/>
          <w:szCs w:val="16"/>
        </w:rPr>
        <w:sectPr w:rsidR="009D3C57" w:rsidSect="009D3C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D3C57">
        <w:rPr>
          <w:sz w:val="16"/>
          <w:szCs w:val="16"/>
        </w:rPr>
        <w:t>1) vanglateenistuja;</w:t>
      </w:r>
      <w:r w:rsidRPr="009D3C57">
        <w:rPr>
          <w:sz w:val="16"/>
          <w:szCs w:val="16"/>
        </w:rPr>
        <w:br/>
        <w:t>2) Justiits- ja Digiministeeriumi ametnik ja töötaja;</w:t>
      </w:r>
      <w:r w:rsidRPr="009D3C57">
        <w:rPr>
          <w:sz w:val="16"/>
          <w:szCs w:val="16"/>
        </w:rPr>
        <w:br/>
        <w:t>3) kohtunik;</w:t>
      </w:r>
      <w:r w:rsidRPr="009D3C57">
        <w:rPr>
          <w:sz w:val="16"/>
          <w:szCs w:val="16"/>
        </w:rPr>
        <w:br/>
        <w:t>4) prokurör;</w:t>
      </w:r>
      <w:r w:rsidRPr="009D3C57">
        <w:rPr>
          <w:sz w:val="16"/>
          <w:szCs w:val="16"/>
        </w:rPr>
        <w:br/>
        <w:t>5) Eesti Advokatuuri liige;</w:t>
      </w:r>
      <w:r w:rsidRPr="009D3C57">
        <w:rPr>
          <w:sz w:val="16"/>
          <w:szCs w:val="16"/>
        </w:rPr>
        <w:br/>
        <w:t>6) politseiametnik;</w:t>
      </w:r>
      <w:r w:rsidRPr="009D3C57">
        <w:rPr>
          <w:sz w:val="16"/>
          <w:szCs w:val="16"/>
        </w:rPr>
        <w:br/>
        <w:t>6</w:t>
      </w:r>
      <w:r w:rsidRPr="009D3C57">
        <w:rPr>
          <w:sz w:val="16"/>
          <w:szCs w:val="16"/>
          <w:vertAlign w:val="superscript"/>
        </w:rPr>
        <w:t>1</w:t>
      </w:r>
      <w:r w:rsidRPr="009D3C57">
        <w:rPr>
          <w:sz w:val="16"/>
          <w:szCs w:val="16"/>
        </w:rPr>
        <w:t>) abipolitseinik;</w:t>
      </w:r>
      <w:r w:rsidRPr="009D3C57">
        <w:rPr>
          <w:sz w:val="16"/>
          <w:szCs w:val="16"/>
        </w:rPr>
        <w:br/>
        <w:t>7) päästeametnik;</w:t>
      </w:r>
      <w:r w:rsidRPr="009D3C57">
        <w:rPr>
          <w:sz w:val="16"/>
          <w:szCs w:val="16"/>
        </w:rPr>
        <w:br/>
        <w:t>7</w:t>
      </w:r>
      <w:r w:rsidRPr="009D3C57">
        <w:rPr>
          <w:sz w:val="16"/>
          <w:szCs w:val="16"/>
          <w:vertAlign w:val="superscript"/>
        </w:rPr>
        <w:t>1</w:t>
      </w:r>
      <w:r w:rsidRPr="009D3C57">
        <w:rPr>
          <w:sz w:val="16"/>
          <w:szCs w:val="16"/>
        </w:rPr>
        <w:t>) vabatahtlik päästja;</w:t>
      </w:r>
      <w:r w:rsidRPr="009D3C57">
        <w:rPr>
          <w:sz w:val="16"/>
          <w:szCs w:val="16"/>
        </w:rPr>
        <w:br/>
      </w:r>
      <w:r w:rsidRPr="009D3C57">
        <w:rPr>
          <w:sz w:val="16"/>
          <w:szCs w:val="16"/>
        </w:rPr>
        <w:t>8) Maksu- ja Tolliameti ametnik;</w:t>
      </w:r>
      <w:r w:rsidRPr="009D3C57">
        <w:rPr>
          <w:sz w:val="16"/>
          <w:szCs w:val="16"/>
        </w:rPr>
        <w:br/>
        <w:t>9) notar;</w:t>
      </w:r>
      <w:r w:rsidRPr="009D3C57">
        <w:rPr>
          <w:sz w:val="16"/>
          <w:szCs w:val="16"/>
        </w:rPr>
        <w:br/>
        <w:t>10) Õiguskantsleri Kantselei teenistuja;</w:t>
      </w:r>
      <w:r w:rsidRPr="009D3C57">
        <w:rPr>
          <w:sz w:val="16"/>
          <w:szCs w:val="16"/>
        </w:rPr>
        <w:br/>
        <w:t>11) Registrite ja Infosüsteemide Keskuse töötaja;</w:t>
      </w:r>
      <w:r w:rsidRPr="009D3C57">
        <w:rPr>
          <w:sz w:val="16"/>
          <w:szCs w:val="16"/>
        </w:rPr>
        <w:br/>
        <w:t>12) Riigi Info- ja Kommunikatsioonitehnoloogia Keskuse töötaja;</w:t>
      </w:r>
      <w:r w:rsidRPr="009D3C57">
        <w:rPr>
          <w:sz w:val="16"/>
          <w:szCs w:val="16"/>
        </w:rPr>
        <w:br/>
        <w:t>13) menetlustoimingul osalev prokuratuuri või Politsei- ja Piirivalveameti tõlk.</w:t>
      </w:r>
    </w:p>
    <w:p w14:paraId="4069AAFB" w14:textId="77777777" w:rsidR="009A221F" w:rsidRDefault="009A221F" w:rsidP="009D3C57">
      <w:pPr>
        <w:spacing w:after="0"/>
        <w:ind w:left="45"/>
        <w:rPr>
          <w:sz w:val="16"/>
          <w:szCs w:val="16"/>
        </w:rPr>
      </w:pPr>
    </w:p>
    <w:p w14:paraId="74D8CF39" w14:textId="77777777" w:rsidR="009A221F" w:rsidRDefault="009A221F" w:rsidP="009D3C57">
      <w:pPr>
        <w:spacing w:after="0"/>
        <w:ind w:left="45"/>
        <w:rPr>
          <w:sz w:val="16"/>
          <w:szCs w:val="16"/>
        </w:rPr>
      </w:pPr>
    </w:p>
    <w:p w14:paraId="27C83D67" w14:textId="5EC3F9FC" w:rsidR="00F31644" w:rsidRDefault="009A221F" w:rsidP="00C22990">
      <w:r>
        <w:t>________________________________________</w:t>
      </w:r>
    </w:p>
    <w:p w14:paraId="22F4C0F5" w14:textId="77777777" w:rsidR="00EB15A3" w:rsidRPr="001923EA" w:rsidRDefault="00EB15A3" w:rsidP="009111FC">
      <w:pPr>
        <w:ind w:left="45"/>
        <w:jc w:val="both"/>
      </w:pPr>
    </w:p>
    <w:p w14:paraId="705747F8" w14:textId="3D8EFFED" w:rsidR="001923EA" w:rsidRDefault="001923EA"/>
    <w:sectPr w:rsidR="001923EA" w:rsidSect="009D3C5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1CD"/>
    <w:multiLevelType w:val="multilevel"/>
    <w:tmpl w:val="BB66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12660"/>
    <w:multiLevelType w:val="multilevel"/>
    <w:tmpl w:val="E6E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D2D03"/>
    <w:multiLevelType w:val="multilevel"/>
    <w:tmpl w:val="040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D4CC5"/>
    <w:multiLevelType w:val="hybridMultilevel"/>
    <w:tmpl w:val="B4DA8C0A"/>
    <w:lvl w:ilvl="0" w:tplc="B8144C2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49E7997"/>
    <w:multiLevelType w:val="multilevel"/>
    <w:tmpl w:val="BE26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F34277"/>
    <w:multiLevelType w:val="multilevel"/>
    <w:tmpl w:val="242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BD4B53"/>
    <w:multiLevelType w:val="multilevel"/>
    <w:tmpl w:val="E41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54DF7"/>
    <w:multiLevelType w:val="multilevel"/>
    <w:tmpl w:val="89B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AC2715"/>
    <w:multiLevelType w:val="multilevel"/>
    <w:tmpl w:val="205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9E0AE8"/>
    <w:multiLevelType w:val="multilevel"/>
    <w:tmpl w:val="0D36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CC6E5D"/>
    <w:multiLevelType w:val="multilevel"/>
    <w:tmpl w:val="506E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170D73"/>
    <w:multiLevelType w:val="multilevel"/>
    <w:tmpl w:val="3F14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F51D73"/>
    <w:multiLevelType w:val="multilevel"/>
    <w:tmpl w:val="E614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4D540F"/>
    <w:multiLevelType w:val="multilevel"/>
    <w:tmpl w:val="17D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7418AF"/>
    <w:multiLevelType w:val="multilevel"/>
    <w:tmpl w:val="29CC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1474386">
    <w:abstractNumId w:val="3"/>
  </w:num>
  <w:num w:numId="2" w16cid:durableId="1085305351">
    <w:abstractNumId w:val="10"/>
  </w:num>
  <w:num w:numId="3" w16cid:durableId="298606802">
    <w:abstractNumId w:val="11"/>
  </w:num>
  <w:num w:numId="4" w16cid:durableId="1036080720">
    <w:abstractNumId w:val="2"/>
  </w:num>
  <w:num w:numId="5" w16cid:durableId="1728331593">
    <w:abstractNumId w:val="13"/>
  </w:num>
  <w:num w:numId="6" w16cid:durableId="1200388054">
    <w:abstractNumId w:val="0"/>
  </w:num>
  <w:num w:numId="7" w16cid:durableId="1786656069">
    <w:abstractNumId w:val="4"/>
  </w:num>
  <w:num w:numId="8" w16cid:durableId="783771622">
    <w:abstractNumId w:val="12"/>
  </w:num>
  <w:num w:numId="9" w16cid:durableId="2014992950">
    <w:abstractNumId w:val="5"/>
  </w:num>
  <w:num w:numId="10" w16cid:durableId="1478035180">
    <w:abstractNumId w:val="1"/>
  </w:num>
  <w:num w:numId="11" w16cid:durableId="1533105046">
    <w:abstractNumId w:val="8"/>
  </w:num>
  <w:num w:numId="12" w16cid:durableId="2102525979">
    <w:abstractNumId w:val="14"/>
  </w:num>
  <w:num w:numId="13" w16cid:durableId="769816735">
    <w:abstractNumId w:val="6"/>
  </w:num>
  <w:num w:numId="14" w16cid:durableId="1148091775">
    <w:abstractNumId w:val="9"/>
  </w:num>
  <w:num w:numId="15" w16cid:durableId="575164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A"/>
    <w:rsid w:val="000054C5"/>
    <w:rsid w:val="00011B26"/>
    <w:rsid w:val="00026DE6"/>
    <w:rsid w:val="00030749"/>
    <w:rsid w:val="00056484"/>
    <w:rsid w:val="000839F5"/>
    <w:rsid w:val="00091869"/>
    <w:rsid w:val="000B718A"/>
    <w:rsid w:val="00132AD5"/>
    <w:rsid w:val="001633D7"/>
    <w:rsid w:val="001827BB"/>
    <w:rsid w:val="001923EA"/>
    <w:rsid w:val="001E65CA"/>
    <w:rsid w:val="00212E3D"/>
    <w:rsid w:val="00280C61"/>
    <w:rsid w:val="00292717"/>
    <w:rsid w:val="002B4F4A"/>
    <w:rsid w:val="00315370"/>
    <w:rsid w:val="00347A50"/>
    <w:rsid w:val="00351E3A"/>
    <w:rsid w:val="003F0296"/>
    <w:rsid w:val="0045096E"/>
    <w:rsid w:val="004A6089"/>
    <w:rsid w:val="004C3050"/>
    <w:rsid w:val="005140CD"/>
    <w:rsid w:val="00541FEC"/>
    <w:rsid w:val="00542027"/>
    <w:rsid w:val="0054555A"/>
    <w:rsid w:val="00553A20"/>
    <w:rsid w:val="00565A9C"/>
    <w:rsid w:val="005924ED"/>
    <w:rsid w:val="005F39CD"/>
    <w:rsid w:val="00612357"/>
    <w:rsid w:val="0063542A"/>
    <w:rsid w:val="00687362"/>
    <w:rsid w:val="006B1789"/>
    <w:rsid w:val="006C75C4"/>
    <w:rsid w:val="00721A29"/>
    <w:rsid w:val="00727CC2"/>
    <w:rsid w:val="00752DA5"/>
    <w:rsid w:val="00753B24"/>
    <w:rsid w:val="007802FE"/>
    <w:rsid w:val="007878F5"/>
    <w:rsid w:val="007A3EE3"/>
    <w:rsid w:val="007D451F"/>
    <w:rsid w:val="007E0480"/>
    <w:rsid w:val="00816779"/>
    <w:rsid w:val="00865FDE"/>
    <w:rsid w:val="0086701A"/>
    <w:rsid w:val="008709BC"/>
    <w:rsid w:val="009111FC"/>
    <w:rsid w:val="009317D0"/>
    <w:rsid w:val="00983DC7"/>
    <w:rsid w:val="009A221F"/>
    <w:rsid w:val="009D1B69"/>
    <w:rsid w:val="009D3C57"/>
    <w:rsid w:val="00A059B3"/>
    <w:rsid w:val="00A35800"/>
    <w:rsid w:val="00A831DB"/>
    <w:rsid w:val="00AB6A08"/>
    <w:rsid w:val="00AD2865"/>
    <w:rsid w:val="00B00209"/>
    <w:rsid w:val="00B1507A"/>
    <w:rsid w:val="00B4408E"/>
    <w:rsid w:val="00B47A74"/>
    <w:rsid w:val="00B9577C"/>
    <w:rsid w:val="00BB64B7"/>
    <w:rsid w:val="00BD6DB5"/>
    <w:rsid w:val="00C22990"/>
    <w:rsid w:val="00C7217B"/>
    <w:rsid w:val="00C73A5D"/>
    <w:rsid w:val="00D003D7"/>
    <w:rsid w:val="00D05C74"/>
    <w:rsid w:val="00D108BA"/>
    <w:rsid w:val="00D27560"/>
    <w:rsid w:val="00D911CA"/>
    <w:rsid w:val="00E049DF"/>
    <w:rsid w:val="00E302D4"/>
    <w:rsid w:val="00EB15A3"/>
    <w:rsid w:val="00ED54F0"/>
    <w:rsid w:val="00EF4CBB"/>
    <w:rsid w:val="00F14D17"/>
    <w:rsid w:val="00F31644"/>
    <w:rsid w:val="00F5088C"/>
    <w:rsid w:val="00F9304B"/>
    <w:rsid w:val="00F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965A"/>
  <w15:chartTrackingRefBased/>
  <w15:docId w15:val="{9A810739-6231-4261-8E21-C4F04375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92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92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92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92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92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92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92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92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92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92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92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92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923E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923E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923E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923E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923E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923E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92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9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92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92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92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923E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923E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923E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92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923E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923E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212E3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12E3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D54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teenused.vanglateenistus.e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Kulo - TRTV</dc:creator>
  <cp:keywords/>
  <dc:description/>
  <cp:lastModifiedBy>Regiina Siilak - TLNV</cp:lastModifiedBy>
  <cp:revision>3</cp:revision>
  <dcterms:created xsi:type="dcterms:W3CDTF">2026-04-23T07:04:00Z</dcterms:created>
  <dcterms:modified xsi:type="dcterms:W3CDTF">2026-04-27T06:08:00Z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2026-01-12T13:17:57Z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9daa4145-4e6a-4974-ae93-129581dbca24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